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0B6D" w:rsidRPr="00970B6D" w:rsidRDefault="00AA273F" w:rsidP="00970B6D">
      <w:pPr>
        <w:jc w:val="center"/>
        <w:rPr>
          <w:b/>
          <w:sz w:val="32"/>
          <w:szCs w:val="32"/>
        </w:rPr>
      </w:pPr>
      <w:r>
        <w:rPr>
          <w:b/>
          <w:sz w:val="32"/>
          <w:szCs w:val="32"/>
        </w:rPr>
        <w:t xml:space="preserve">Меры государственной поддержки граждан, </w:t>
      </w:r>
      <w:r w:rsidRPr="00AA273F">
        <w:t xml:space="preserve"> </w:t>
      </w:r>
      <w:r>
        <w:rPr>
          <w:b/>
          <w:sz w:val="32"/>
          <w:szCs w:val="32"/>
        </w:rPr>
        <w:t>нуждающих</w:t>
      </w:r>
      <w:r w:rsidRPr="00AA273F">
        <w:rPr>
          <w:b/>
          <w:sz w:val="32"/>
          <w:szCs w:val="32"/>
        </w:rPr>
        <w:t>ся в улучшении жилищных условий</w:t>
      </w:r>
      <w:r>
        <w:rPr>
          <w:b/>
          <w:sz w:val="32"/>
          <w:szCs w:val="32"/>
        </w:rPr>
        <w:t xml:space="preserve">, </w:t>
      </w:r>
      <w:bookmarkStart w:id="0" w:name="_GoBack"/>
      <w:bookmarkEnd w:id="0"/>
      <w:r w:rsidR="00970B6D" w:rsidRPr="00970B6D">
        <w:rPr>
          <w:b/>
          <w:sz w:val="32"/>
          <w:szCs w:val="32"/>
        </w:rPr>
        <w:t xml:space="preserve"> предоставляемые за счет средств</w:t>
      </w:r>
    </w:p>
    <w:p w:rsidR="00970B6D" w:rsidRPr="00970B6D" w:rsidRDefault="00970B6D" w:rsidP="00970B6D">
      <w:pPr>
        <w:jc w:val="center"/>
        <w:rPr>
          <w:b/>
          <w:sz w:val="32"/>
          <w:szCs w:val="32"/>
        </w:rPr>
      </w:pPr>
      <w:r w:rsidRPr="00970B6D">
        <w:rPr>
          <w:b/>
          <w:sz w:val="32"/>
          <w:szCs w:val="32"/>
        </w:rPr>
        <w:t xml:space="preserve"> бюджета Ханты-Мансийского автономного округа – Югры</w:t>
      </w:r>
    </w:p>
    <w:p w:rsidR="00970B6D" w:rsidRDefault="00970B6D" w:rsidP="00970B6D">
      <w:pPr>
        <w:jc w:val="center"/>
      </w:pPr>
    </w:p>
    <w:tbl>
      <w:tblPr>
        <w:tblW w:w="1573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48"/>
        <w:gridCol w:w="4945"/>
        <w:gridCol w:w="2247"/>
        <w:gridCol w:w="5095"/>
      </w:tblGrid>
      <w:tr w:rsidR="00970B6D" w:rsidTr="00970B6D">
        <w:tc>
          <w:tcPr>
            <w:tcW w:w="14885" w:type="dxa"/>
            <w:gridSpan w:val="4"/>
            <w:tcBorders>
              <w:top w:val="single" w:sz="4" w:space="0" w:color="auto"/>
              <w:left w:val="single" w:sz="4" w:space="0" w:color="auto"/>
              <w:bottom w:val="single" w:sz="4" w:space="0" w:color="auto"/>
              <w:right w:val="single" w:sz="4" w:space="0" w:color="auto"/>
            </w:tcBorders>
            <w:hideMark/>
          </w:tcPr>
          <w:p w:rsidR="00970B6D" w:rsidRDefault="00970B6D">
            <w:pPr>
              <w:suppressAutoHyphens w:val="0"/>
              <w:autoSpaceDE w:val="0"/>
              <w:autoSpaceDN w:val="0"/>
              <w:adjustRightInd w:val="0"/>
              <w:spacing w:line="276" w:lineRule="auto"/>
              <w:jc w:val="both"/>
              <w:rPr>
                <w:rFonts w:eastAsia="Calibri"/>
                <w:b/>
                <w:i/>
                <w:sz w:val="22"/>
                <w:szCs w:val="22"/>
                <w:lang w:eastAsia="ru-RU"/>
              </w:rPr>
            </w:pPr>
            <w:r>
              <w:rPr>
                <w:rFonts w:eastAsia="Calibri"/>
                <w:b/>
                <w:i/>
                <w:sz w:val="22"/>
                <w:szCs w:val="22"/>
                <w:lang w:eastAsia="ru-RU"/>
              </w:rPr>
              <w:t>Граждане из числа коренных малочисленных народов автономного округа</w:t>
            </w:r>
          </w:p>
        </w:tc>
      </w:tr>
      <w:tr w:rsidR="00970B6D" w:rsidTr="00970B6D">
        <w:tc>
          <w:tcPr>
            <w:tcW w:w="3261" w:type="dxa"/>
            <w:tcBorders>
              <w:top w:val="single" w:sz="4" w:space="0" w:color="auto"/>
              <w:left w:val="single" w:sz="4" w:space="0" w:color="auto"/>
              <w:bottom w:val="single" w:sz="4" w:space="0" w:color="auto"/>
              <w:right w:val="single" w:sz="4" w:space="0" w:color="auto"/>
            </w:tcBorders>
            <w:hideMark/>
          </w:tcPr>
          <w:p w:rsidR="00970B6D" w:rsidRDefault="00970B6D">
            <w:pPr>
              <w:suppressAutoHyphens w:val="0"/>
              <w:autoSpaceDE w:val="0"/>
              <w:autoSpaceDN w:val="0"/>
              <w:adjustRightInd w:val="0"/>
              <w:spacing w:line="276" w:lineRule="auto"/>
              <w:jc w:val="both"/>
              <w:rPr>
                <w:rFonts w:eastAsia="Calibri"/>
                <w:sz w:val="22"/>
                <w:szCs w:val="22"/>
                <w:lang w:eastAsia="ru-RU"/>
              </w:rPr>
            </w:pPr>
            <w:proofErr w:type="gramStart"/>
            <w:r>
              <w:rPr>
                <w:rFonts w:eastAsia="Calibri"/>
                <w:sz w:val="22"/>
                <w:szCs w:val="22"/>
                <w:lang w:eastAsia="ru-RU"/>
              </w:rPr>
              <w:t>Граждане из числа коренных малочисленных народов автономного округа, нуждающиеся в улучшении жилищных условий, признанные участниками подпрограммы 3 «Обеспечение жилыми помещениями граждан из числа коренных малочисленных народов в Ханты-Мансийском автономном округе – Югре» в соответствии с Законом Ханты-Мансийского автономного округа – Югры от 11 ноября 2005 года № 103-оз «Улучшение жилищных условий населения Ханты-Мансийского автономного округа – Югры на 2005-2015 годы»</w:t>
            </w:r>
            <w:proofErr w:type="gramEnd"/>
          </w:p>
        </w:tc>
        <w:tc>
          <w:tcPr>
            <w:tcW w:w="4678" w:type="dxa"/>
            <w:tcBorders>
              <w:top w:val="single" w:sz="4" w:space="0" w:color="auto"/>
              <w:left w:val="single" w:sz="4" w:space="0" w:color="auto"/>
              <w:bottom w:val="single" w:sz="4" w:space="0" w:color="auto"/>
              <w:right w:val="single" w:sz="4" w:space="0" w:color="auto"/>
            </w:tcBorders>
            <w:hideMark/>
          </w:tcPr>
          <w:p w:rsidR="00970B6D" w:rsidRDefault="00970B6D">
            <w:pPr>
              <w:suppressAutoHyphens w:val="0"/>
              <w:autoSpaceDE w:val="0"/>
              <w:autoSpaceDN w:val="0"/>
              <w:adjustRightInd w:val="0"/>
              <w:spacing w:line="276" w:lineRule="auto"/>
              <w:jc w:val="both"/>
              <w:rPr>
                <w:rFonts w:eastAsia="Calibri"/>
                <w:sz w:val="22"/>
                <w:szCs w:val="22"/>
                <w:lang w:eastAsia="en-US"/>
              </w:rPr>
            </w:pPr>
            <w:r>
              <w:rPr>
                <w:rFonts w:eastAsia="Calibri"/>
                <w:sz w:val="22"/>
                <w:szCs w:val="22"/>
                <w:lang w:eastAsia="ru-RU"/>
              </w:rPr>
              <w:t xml:space="preserve">Государственная поддержка осуществляется в форме </w:t>
            </w:r>
            <w:r>
              <w:rPr>
                <w:rFonts w:eastAsia="Calibri"/>
                <w:sz w:val="22"/>
                <w:szCs w:val="22"/>
                <w:lang w:eastAsia="en-US"/>
              </w:rPr>
              <w:t xml:space="preserve">предоставления субсидии на строительство или приобретение жилого помещения в размере, </w:t>
            </w:r>
            <w:r>
              <w:rPr>
                <w:rFonts w:eastAsia="Calibri"/>
                <w:sz w:val="22"/>
                <w:szCs w:val="22"/>
                <w:lang w:eastAsia="ru-RU"/>
              </w:rPr>
              <w:t>равном</w:t>
            </w:r>
            <w:r>
              <w:rPr>
                <w:rFonts w:eastAsia="Calibri"/>
                <w:sz w:val="22"/>
                <w:szCs w:val="22"/>
                <w:lang w:eastAsia="en-US"/>
              </w:rPr>
              <w:t xml:space="preserve"> стоимости жилого помещения в пределах нормы предоставления.</w:t>
            </w:r>
          </w:p>
          <w:p w:rsidR="00970B6D" w:rsidRDefault="00970B6D">
            <w:pPr>
              <w:suppressAutoHyphens w:val="0"/>
              <w:autoSpaceDE w:val="0"/>
              <w:autoSpaceDN w:val="0"/>
              <w:adjustRightInd w:val="0"/>
              <w:spacing w:line="276" w:lineRule="auto"/>
              <w:jc w:val="both"/>
              <w:rPr>
                <w:rFonts w:eastAsia="Calibri"/>
                <w:sz w:val="22"/>
                <w:szCs w:val="22"/>
                <w:lang w:eastAsia="en-US"/>
              </w:rPr>
            </w:pPr>
            <w:r>
              <w:rPr>
                <w:rFonts w:eastAsia="Calibri"/>
                <w:sz w:val="22"/>
                <w:szCs w:val="22"/>
                <w:lang w:eastAsia="en-US"/>
              </w:rPr>
              <w:t>Стоимость 1 квадратного метра общей площади приобретаемого жилого помещения для расчета субсидии определяется согласно заключенному договору, в соответствии с которым предполагается приобретение жилого помещения (договор купли-продажи или договор участия в долевом строительстве).</w:t>
            </w:r>
          </w:p>
          <w:p w:rsidR="00970B6D" w:rsidRDefault="00970B6D">
            <w:pPr>
              <w:suppressAutoHyphens w:val="0"/>
              <w:autoSpaceDE w:val="0"/>
              <w:autoSpaceDN w:val="0"/>
              <w:adjustRightInd w:val="0"/>
              <w:spacing w:line="276" w:lineRule="auto"/>
              <w:jc w:val="both"/>
              <w:rPr>
                <w:rFonts w:eastAsia="Calibri"/>
                <w:sz w:val="22"/>
                <w:szCs w:val="22"/>
                <w:lang w:eastAsia="en-US"/>
              </w:rPr>
            </w:pPr>
            <w:r>
              <w:rPr>
                <w:rFonts w:eastAsia="Calibri"/>
                <w:sz w:val="22"/>
                <w:szCs w:val="22"/>
                <w:lang w:eastAsia="en-US"/>
              </w:rPr>
              <w:t>В случае</w:t>
            </w:r>
            <w:proofErr w:type="gramStart"/>
            <w:r>
              <w:rPr>
                <w:rFonts w:eastAsia="Calibri"/>
                <w:sz w:val="22"/>
                <w:szCs w:val="22"/>
                <w:lang w:eastAsia="en-US"/>
              </w:rPr>
              <w:t>,</w:t>
            </w:r>
            <w:proofErr w:type="gramEnd"/>
            <w:r>
              <w:rPr>
                <w:rFonts w:eastAsia="Calibri"/>
                <w:sz w:val="22"/>
                <w:szCs w:val="22"/>
                <w:lang w:eastAsia="en-US"/>
              </w:rPr>
              <w:t xml:space="preserve"> если стоимость 1 квадратного метра общей площади приобретаемого по договору жилого помещения превышает норматив средней рыночной стоимости 1 квадратного метра общей площади жилого помещения, размер субсидии рассчитывается по нормативу средней рыночной стоимости 1 квадратного метра общей площади жилого помещения.</w:t>
            </w:r>
          </w:p>
          <w:p w:rsidR="00970B6D" w:rsidRDefault="00970B6D">
            <w:pPr>
              <w:suppressAutoHyphens w:val="0"/>
              <w:autoSpaceDE w:val="0"/>
              <w:autoSpaceDN w:val="0"/>
              <w:adjustRightInd w:val="0"/>
              <w:spacing w:line="276" w:lineRule="auto"/>
              <w:jc w:val="both"/>
              <w:rPr>
                <w:rFonts w:eastAsia="Calibri"/>
                <w:sz w:val="22"/>
                <w:szCs w:val="22"/>
                <w:lang w:eastAsia="en-US"/>
              </w:rPr>
            </w:pPr>
            <w:r>
              <w:rPr>
                <w:rFonts w:eastAsia="Calibri"/>
                <w:sz w:val="22"/>
                <w:szCs w:val="22"/>
                <w:lang w:eastAsia="en-US"/>
              </w:rPr>
              <w:t xml:space="preserve">При строительстве индивидуального жилого помещения размер субсидии рассчитывается в установленном порядке по нормативу средней рыночной стоимости 1 квадратного метра общей площади жилого </w:t>
            </w:r>
            <w:proofErr w:type="gramStart"/>
            <w:r>
              <w:rPr>
                <w:rFonts w:eastAsia="Calibri"/>
                <w:sz w:val="22"/>
                <w:szCs w:val="22"/>
                <w:lang w:eastAsia="en-US"/>
              </w:rPr>
              <w:t>помещения</w:t>
            </w:r>
            <w:proofErr w:type="gramEnd"/>
            <w:r>
              <w:rPr>
                <w:rFonts w:eastAsia="Calibri"/>
                <w:sz w:val="22"/>
                <w:szCs w:val="22"/>
                <w:lang w:eastAsia="en-US"/>
              </w:rPr>
              <w:t xml:space="preserve"> с учетом заявленного получателем субсидии состава семьи.</w:t>
            </w:r>
          </w:p>
          <w:p w:rsidR="00970B6D" w:rsidRDefault="00970B6D">
            <w:pPr>
              <w:suppressAutoHyphens w:val="0"/>
              <w:autoSpaceDE w:val="0"/>
              <w:autoSpaceDN w:val="0"/>
              <w:adjustRightInd w:val="0"/>
              <w:spacing w:line="276" w:lineRule="auto"/>
              <w:jc w:val="both"/>
              <w:rPr>
                <w:rFonts w:eastAsia="Calibri"/>
                <w:sz w:val="22"/>
                <w:szCs w:val="22"/>
                <w:lang w:eastAsia="en-US"/>
              </w:rPr>
            </w:pPr>
            <w:r>
              <w:rPr>
                <w:rFonts w:eastAsia="Calibri"/>
                <w:sz w:val="22"/>
                <w:szCs w:val="22"/>
                <w:lang w:eastAsia="en-US"/>
              </w:rPr>
              <w:t xml:space="preserve">Норма предоставления жилого помещения устанавливается в размере 18 кв. м. для семьи из </w:t>
            </w:r>
            <w:r>
              <w:rPr>
                <w:rFonts w:eastAsia="Calibri"/>
                <w:sz w:val="22"/>
                <w:szCs w:val="22"/>
                <w:lang w:eastAsia="en-US"/>
              </w:rPr>
              <w:lastRenderedPageBreak/>
              <w:t>двух и более человек, 33 кв. м. общей площади жилого помещения – на одиноко проживающего гражданина.</w:t>
            </w:r>
          </w:p>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en-US"/>
              </w:rPr>
              <w:t xml:space="preserve">При наличии у заявителя и членов его семьи, на которых производится расчет и выплата субсидии, жилых помещений, находящихся в собственности (за исключением жилых помещений, признанных в установленном порядке непригодными для проживания), а </w:t>
            </w:r>
            <w:proofErr w:type="gramStart"/>
            <w:r>
              <w:rPr>
                <w:rFonts w:eastAsia="Calibri"/>
                <w:sz w:val="22"/>
                <w:szCs w:val="22"/>
                <w:lang w:eastAsia="en-US"/>
              </w:rPr>
              <w:t>также</w:t>
            </w:r>
            <w:proofErr w:type="gramEnd"/>
            <w:r>
              <w:rPr>
                <w:rFonts w:eastAsia="Calibri"/>
                <w:sz w:val="22"/>
                <w:szCs w:val="22"/>
                <w:lang w:eastAsia="en-US"/>
              </w:rPr>
              <w:t xml:space="preserve"> если заявитель и (или) члены его семьи, на которых осуществляется расчет и выплата субсидии, со дня вступления в силу Закона  Ханты-Мансийского автономного округа - Югры от 11 ноября 2005 года № 103-оз  ухудшили свои жилищные условия путем продажи, дарения или отчуждения иным способом жилого помещения, принадлежащего ему (им) на праве частной собственности, расчет размера субсидии осуществляется за минусом общей площади имеющихся или отчужденных жилых помещений.</w:t>
            </w:r>
            <w:r>
              <w:rPr>
                <w:rFonts w:eastAsia="Calibri"/>
                <w:sz w:val="22"/>
                <w:szCs w:val="22"/>
                <w:lang w:eastAsia="ru-RU"/>
              </w:rPr>
              <w:t xml:space="preserve"> </w:t>
            </w:r>
          </w:p>
        </w:tc>
        <w:tc>
          <w:tcPr>
            <w:tcW w:w="2126" w:type="dxa"/>
            <w:tcBorders>
              <w:top w:val="single" w:sz="4" w:space="0" w:color="auto"/>
              <w:left w:val="single" w:sz="4" w:space="0" w:color="auto"/>
              <w:bottom w:val="single" w:sz="4" w:space="0" w:color="auto"/>
              <w:right w:val="single" w:sz="4" w:space="0" w:color="auto"/>
            </w:tcBorders>
            <w:hideMark/>
          </w:tcPr>
          <w:p w:rsidR="00970B6D" w:rsidRDefault="00970B6D">
            <w:pPr>
              <w:spacing w:line="276" w:lineRule="auto"/>
              <w:jc w:val="both"/>
              <w:rPr>
                <w:rFonts w:eastAsia="Calibri"/>
                <w:sz w:val="22"/>
                <w:szCs w:val="22"/>
                <w:lang w:eastAsia="ru-RU"/>
              </w:rPr>
            </w:pPr>
            <w:r>
              <w:rPr>
                <w:rFonts w:eastAsia="Calibri"/>
                <w:sz w:val="22"/>
                <w:szCs w:val="22"/>
                <w:lang w:eastAsia="ru-RU"/>
              </w:rPr>
              <w:lastRenderedPageBreak/>
              <w:t>ОАО «Ипотечное агентство Югры» и его структурные подразделения.</w:t>
            </w:r>
          </w:p>
        </w:tc>
        <w:tc>
          <w:tcPr>
            <w:tcW w:w="4820" w:type="dxa"/>
            <w:tcBorders>
              <w:top w:val="single" w:sz="4" w:space="0" w:color="auto"/>
              <w:left w:val="single" w:sz="4" w:space="0" w:color="auto"/>
              <w:bottom w:val="single" w:sz="4" w:space="0" w:color="auto"/>
              <w:right w:val="single" w:sz="4" w:space="0" w:color="auto"/>
            </w:tcBorders>
          </w:tcPr>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 xml:space="preserve">Закон Ханты-Мансийского автономного округа – Югры от 6 июля 2005 года № 57-оз «О регулировании отдельных жилищных отношений </w:t>
            </w:r>
            <w:proofErr w:type="gramStart"/>
            <w:r>
              <w:rPr>
                <w:rFonts w:eastAsia="Calibri"/>
                <w:sz w:val="22"/>
                <w:szCs w:val="22"/>
                <w:lang w:eastAsia="ru-RU"/>
              </w:rPr>
              <w:t>в</w:t>
            </w:r>
            <w:proofErr w:type="gramEnd"/>
            <w:r>
              <w:rPr>
                <w:rFonts w:eastAsia="Calibri"/>
                <w:sz w:val="22"/>
                <w:szCs w:val="22"/>
                <w:lang w:eastAsia="ru-RU"/>
              </w:rPr>
              <w:t xml:space="preserve"> </w:t>
            </w:r>
            <w:proofErr w:type="gramStart"/>
            <w:r>
              <w:rPr>
                <w:rFonts w:eastAsia="Calibri"/>
                <w:sz w:val="22"/>
                <w:szCs w:val="22"/>
                <w:lang w:eastAsia="ru-RU"/>
              </w:rPr>
              <w:t>Ханты-Мансийском</w:t>
            </w:r>
            <w:proofErr w:type="gramEnd"/>
            <w:r>
              <w:rPr>
                <w:rFonts w:eastAsia="Calibri"/>
                <w:sz w:val="22"/>
                <w:szCs w:val="22"/>
                <w:lang w:eastAsia="ru-RU"/>
              </w:rPr>
              <w:t xml:space="preserve"> автономном округе – Югре»;</w:t>
            </w:r>
          </w:p>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Закон Ханты-Мансийского автономного округа – Югры от 11 ноября 2005 года №103-оз «Улучшение жилищных условий населения Ханты-Мансийского автономного округа – Югры» на 2005-2015 годы;</w:t>
            </w:r>
          </w:p>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постановление Правительства Ханты-Мансийского автономного округа – Югры от 09 октября 2013 года № 408-п «О государственной программе Ханты-Мансийского автономного округа – Югры «Обеспечение доступным и комфортным жильем жителей Ханты-Мансийского автономного округа – Югры в 2014 – 2020 годах»;</w:t>
            </w:r>
          </w:p>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 xml:space="preserve">постановление Правительства автономного округа – Югры от 2 мая 2006 года № 95-п «О порядке реализации и финансирования подпрограммы «Обеспечение жилыми помещениями граждан из числа коренных малочисленных народов </w:t>
            </w:r>
            <w:proofErr w:type="gramStart"/>
            <w:r>
              <w:rPr>
                <w:rFonts w:eastAsia="Calibri"/>
                <w:sz w:val="22"/>
                <w:szCs w:val="22"/>
                <w:lang w:eastAsia="ru-RU"/>
              </w:rPr>
              <w:t>в</w:t>
            </w:r>
            <w:proofErr w:type="gramEnd"/>
            <w:r>
              <w:rPr>
                <w:rFonts w:eastAsia="Calibri"/>
                <w:sz w:val="22"/>
                <w:szCs w:val="22"/>
                <w:lang w:eastAsia="ru-RU"/>
              </w:rPr>
              <w:t xml:space="preserve"> </w:t>
            </w:r>
            <w:proofErr w:type="gramStart"/>
            <w:r>
              <w:rPr>
                <w:rFonts w:eastAsia="Calibri"/>
                <w:sz w:val="22"/>
                <w:szCs w:val="22"/>
                <w:lang w:eastAsia="ru-RU"/>
              </w:rPr>
              <w:t>Ханты-Мансийском</w:t>
            </w:r>
            <w:proofErr w:type="gramEnd"/>
            <w:r>
              <w:rPr>
                <w:rFonts w:eastAsia="Calibri"/>
                <w:sz w:val="22"/>
                <w:szCs w:val="22"/>
                <w:lang w:eastAsia="ru-RU"/>
              </w:rPr>
              <w:t xml:space="preserve"> автономном округе – Югре».</w:t>
            </w:r>
          </w:p>
          <w:p w:rsidR="00970B6D" w:rsidRDefault="00970B6D">
            <w:pPr>
              <w:suppressAutoHyphens w:val="0"/>
              <w:autoSpaceDE w:val="0"/>
              <w:autoSpaceDN w:val="0"/>
              <w:adjustRightInd w:val="0"/>
              <w:spacing w:line="276" w:lineRule="auto"/>
              <w:jc w:val="both"/>
              <w:rPr>
                <w:rFonts w:eastAsia="Calibri"/>
                <w:sz w:val="22"/>
                <w:szCs w:val="22"/>
                <w:lang w:eastAsia="ru-RU"/>
              </w:rPr>
            </w:pPr>
          </w:p>
        </w:tc>
      </w:tr>
      <w:tr w:rsidR="00970B6D" w:rsidTr="00970B6D">
        <w:tc>
          <w:tcPr>
            <w:tcW w:w="3261" w:type="dxa"/>
            <w:tcBorders>
              <w:top w:val="single" w:sz="4" w:space="0" w:color="auto"/>
              <w:left w:val="single" w:sz="4" w:space="0" w:color="auto"/>
              <w:bottom w:val="single" w:sz="4" w:space="0" w:color="auto"/>
              <w:right w:val="single" w:sz="4" w:space="0" w:color="auto"/>
            </w:tcBorders>
            <w:hideMark/>
          </w:tcPr>
          <w:p w:rsidR="00970B6D" w:rsidRDefault="00970B6D">
            <w:pPr>
              <w:suppressAutoHyphens w:val="0"/>
              <w:autoSpaceDE w:val="0"/>
              <w:autoSpaceDN w:val="0"/>
              <w:adjustRightInd w:val="0"/>
              <w:spacing w:line="276" w:lineRule="auto"/>
              <w:jc w:val="both"/>
              <w:rPr>
                <w:rFonts w:eastAsia="Calibri"/>
                <w:sz w:val="22"/>
                <w:szCs w:val="22"/>
                <w:lang w:eastAsia="en-US"/>
              </w:rPr>
            </w:pPr>
            <w:r>
              <w:rPr>
                <w:rFonts w:eastAsia="Calibri"/>
                <w:sz w:val="22"/>
                <w:szCs w:val="22"/>
                <w:lang w:eastAsia="ru-RU"/>
              </w:rPr>
              <w:lastRenderedPageBreak/>
              <w:t xml:space="preserve">Граждане из числа коренных малочисленных народов автономного округа, нуждающиеся в улучшении жилищных условий, признанные участниками подпрограммы 3 «Обеспечение жилыми помещениями граждан из числа коренных малочисленных народов </w:t>
            </w:r>
            <w:proofErr w:type="gramStart"/>
            <w:r>
              <w:rPr>
                <w:rFonts w:eastAsia="Calibri"/>
                <w:sz w:val="22"/>
                <w:szCs w:val="22"/>
                <w:lang w:eastAsia="ru-RU"/>
              </w:rPr>
              <w:t>в</w:t>
            </w:r>
            <w:proofErr w:type="gramEnd"/>
            <w:r>
              <w:rPr>
                <w:rFonts w:eastAsia="Calibri"/>
                <w:sz w:val="22"/>
                <w:szCs w:val="22"/>
                <w:lang w:eastAsia="ru-RU"/>
              </w:rPr>
              <w:t xml:space="preserve"> </w:t>
            </w:r>
            <w:proofErr w:type="gramStart"/>
            <w:r>
              <w:rPr>
                <w:rFonts w:eastAsia="Calibri"/>
                <w:sz w:val="22"/>
                <w:szCs w:val="22"/>
                <w:lang w:eastAsia="ru-RU"/>
              </w:rPr>
              <w:t>Ханты-Мансийском</w:t>
            </w:r>
            <w:proofErr w:type="gramEnd"/>
            <w:r>
              <w:rPr>
                <w:rFonts w:eastAsia="Calibri"/>
                <w:sz w:val="22"/>
                <w:szCs w:val="22"/>
                <w:lang w:eastAsia="ru-RU"/>
              </w:rPr>
              <w:t xml:space="preserve"> автономном округе – Югре» в соответствии с целевой программой автономного округа «Улучшение жилищных условий </w:t>
            </w:r>
            <w:r>
              <w:rPr>
                <w:rFonts w:eastAsia="Calibri"/>
                <w:sz w:val="22"/>
                <w:szCs w:val="22"/>
                <w:lang w:eastAsia="ru-RU"/>
              </w:rPr>
              <w:lastRenderedPageBreak/>
              <w:t>населения Ханты-Мансийского автономного</w:t>
            </w:r>
          </w:p>
        </w:tc>
        <w:tc>
          <w:tcPr>
            <w:tcW w:w="4678" w:type="dxa"/>
            <w:tcBorders>
              <w:top w:val="single" w:sz="4" w:space="0" w:color="auto"/>
              <w:left w:val="single" w:sz="4" w:space="0" w:color="auto"/>
              <w:bottom w:val="single" w:sz="4" w:space="0" w:color="auto"/>
              <w:right w:val="single" w:sz="4" w:space="0" w:color="auto"/>
            </w:tcBorders>
            <w:hideMark/>
          </w:tcPr>
          <w:p w:rsidR="00970B6D" w:rsidRDefault="00970B6D">
            <w:pPr>
              <w:suppressAutoHyphens w:val="0"/>
              <w:autoSpaceDE w:val="0"/>
              <w:autoSpaceDN w:val="0"/>
              <w:adjustRightInd w:val="0"/>
              <w:spacing w:line="276" w:lineRule="auto"/>
              <w:jc w:val="both"/>
              <w:rPr>
                <w:rFonts w:eastAsia="Calibri"/>
                <w:sz w:val="22"/>
                <w:szCs w:val="22"/>
                <w:lang w:eastAsia="en-US"/>
              </w:rPr>
            </w:pPr>
            <w:proofErr w:type="gramStart"/>
            <w:r>
              <w:rPr>
                <w:rFonts w:eastAsia="Calibri"/>
                <w:sz w:val="22"/>
                <w:szCs w:val="22"/>
                <w:lang w:eastAsia="ru-RU"/>
              </w:rPr>
              <w:lastRenderedPageBreak/>
              <w:t xml:space="preserve">Государственная поддержка осуществляется в форме </w:t>
            </w:r>
            <w:r>
              <w:rPr>
                <w:rFonts w:eastAsia="Calibri"/>
                <w:sz w:val="22"/>
                <w:szCs w:val="22"/>
                <w:lang w:eastAsia="en-US"/>
              </w:rPr>
              <w:t xml:space="preserve">субсидии на первоначальный взнос при ипотечном кредитовании, оплату договора приобретения (строительства) жилого помещения, погашение основного долга по кредиту (займу), предоставленному банком или организацией, предоставляющей займы, на цели приобретения (строительства) жилого помещения, погашения основного долга по кредиту (займу) на погашение льготного жилищного займа, кредита (займа), предоставленного с компенсацией части процентной ставки по </w:t>
            </w:r>
            <w:hyperlink r:id="rId5" w:history="1">
              <w:r>
                <w:rPr>
                  <w:rStyle w:val="a3"/>
                  <w:rFonts w:eastAsia="Calibri"/>
                  <w:color w:val="auto"/>
                  <w:sz w:val="22"/>
                  <w:szCs w:val="22"/>
                  <w:u w:val="none"/>
                  <w:lang w:eastAsia="en-US"/>
                </w:rPr>
                <w:t>подпрограмме 4</w:t>
              </w:r>
            </w:hyperlink>
            <w:r>
              <w:rPr>
                <w:rFonts w:eastAsia="Calibri"/>
                <w:sz w:val="22"/>
                <w:szCs w:val="22"/>
                <w:lang w:eastAsia="en-US"/>
              </w:rPr>
              <w:t xml:space="preserve"> целевой программы</w:t>
            </w:r>
            <w:proofErr w:type="gramEnd"/>
            <w:r>
              <w:rPr>
                <w:rFonts w:eastAsia="Calibri"/>
                <w:sz w:val="22"/>
                <w:szCs w:val="22"/>
                <w:lang w:eastAsia="en-US"/>
              </w:rPr>
              <w:t xml:space="preserve"> или </w:t>
            </w:r>
            <w:hyperlink r:id="rId6" w:history="1">
              <w:r>
                <w:rPr>
                  <w:rStyle w:val="a3"/>
                  <w:rFonts w:eastAsia="Calibri"/>
                  <w:color w:val="auto"/>
                  <w:sz w:val="22"/>
                  <w:szCs w:val="22"/>
                  <w:u w:val="none"/>
                  <w:lang w:eastAsia="en-US"/>
                </w:rPr>
                <w:t>подпрограммы 4</w:t>
              </w:r>
            </w:hyperlink>
            <w:r>
              <w:rPr>
                <w:rFonts w:eastAsia="Calibri"/>
                <w:sz w:val="22"/>
                <w:szCs w:val="22"/>
                <w:lang w:eastAsia="en-US"/>
              </w:rPr>
              <w:t xml:space="preserve"> «Ипотечное </w:t>
            </w:r>
            <w:r>
              <w:rPr>
                <w:rFonts w:eastAsia="Calibri"/>
                <w:sz w:val="22"/>
                <w:szCs w:val="22"/>
                <w:lang w:eastAsia="en-US"/>
              </w:rPr>
              <w:lastRenderedPageBreak/>
              <w:t>жилищное кредитование» программы Ханты-Мансийского автономного округа - Югры «Улучшение жилищных условий населения Ханты-Мансийского автономного округа - Югры на 2005 - 2015 годы», утвержденной Законом Ханты-Мансийского автономного округа - Югры от 11 ноября 2005 года №103-оз.</w:t>
            </w:r>
          </w:p>
        </w:tc>
        <w:tc>
          <w:tcPr>
            <w:tcW w:w="2126" w:type="dxa"/>
            <w:tcBorders>
              <w:top w:val="single" w:sz="4" w:space="0" w:color="auto"/>
              <w:left w:val="single" w:sz="4" w:space="0" w:color="auto"/>
              <w:bottom w:val="single" w:sz="4" w:space="0" w:color="auto"/>
              <w:right w:val="single" w:sz="4" w:space="0" w:color="auto"/>
            </w:tcBorders>
            <w:hideMark/>
          </w:tcPr>
          <w:p w:rsidR="00970B6D" w:rsidRDefault="00970B6D">
            <w:pPr>
              <w:spacing w:line="276" w:lineRule="auto"/>
              <w:jc w:val="both"/>
              <w:rPr>
                <w:rFonts w:eastAsia="Calibri"/>
                <w:sz w:val="22"/>
                <w:szCs w:val="22"/>
                <w:lang w:eastAsia="ru-RU"/>
              </w:rPr>
            </w:pPr>
            <w:r>
              <w:rPr>
                <w:rFonts w:eastAsia="Calibri"/>
                <w:sz w:val="22"/>
                <w:szCs w:val="22"/>
                <w:lang w:eastAsia="ru-RU"/>
              </w:rPr>
              <w:lastRenderedPageBreak/>
              <w:t>ОАО «Ипотечное агентство Югры» и его структурные подразделения.</w:t>
            </w:r>
          </w:p>
        </w:tc>
        <w:tc>
          <w:tcPr>
            <w:tcW w:w="4820" w:type="dxa"/>
            <w:tcBorders>
              <w:top w:val="single" w:sz="4" w:space="0" w:color="auto"/>
              <w:left w:val="single" w:sz="4" w:space="0" w:color="auto"/>
              <w:bottom w:val="single" w:sz="4" w:space="0" w:color="auto"/>
              <w:right w:val="single" w:sz="4" w:space="0" w:color="auto"/>
            </w:tcBorders>
            <w:hideMark/>
          </w:tcPr>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 xml:space="preserve">Закон Ханты-Мансийского автономного округа – Югры от 6 июля 2005 года № 57-оз «О регулировании отдельных жилищных отношений </w:t>
            </w:r>
            <w:proofErr w:type="gramStart"/>
            <w:r>
              <w:rPr>
                <w:rFonts w:eastAsia="Calibri"/>
                <w:sz w:val="22"/>
                <w:szCs w:val="22"/>
                <w:lang w:eastAsia="ru-RU"/>
              </w:rPr>
              <w:t>в</w:t>
            </w:r>
            <w:proofErr w:type="gramEnd"/>
            <w:r>
              <w:rPr>
                <w:rFonts w:eastAsia="Calibri"/>
                <w:sz w:val="22"/>
                <w:szCs w:val="22"/>
                <w:lang w:eastAsia="ru-RU"/>
              </w:rPr>
              <w:t xml:space="preserve"> </w:t>
            </w:r>
            <w:proofErr w:type="gramStart"/>
            <w:r>
              <w:rPr>
                <w:rFonts w:eastAsia="Calibri"/>
                <w:sz w:val="22"/>
                <w:szCs w:val="22"/>
                <w:lang w:eastAsia="ru-RU"/>
              </w:rPr>
              <w:t>Ханты-Мансийском</w:t>
            </w:r>
            <w:proofErr w:type="gramEnd"/>
            <w:r>
              <w:rPr>
                <w:rFonts w:eastAsia="Calibri"/>
                <w:sz w:val="22"/>
                <w:szCs w:val="22"/>
                <w:lang w:eastAsia="ru-RU"/>
              </w:rPr>
              <w:t xml:space="preserve"> автономном округе – Югре»; </w:t>
            </w:r>
          </w:p>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постановление Правительства Ханты-Мансийского автономного округа – Югры от 09 октября 2013 года № 408-п «О государственной программе Ханты-Мансийского автономного округа – Югры «Обеспечение доступным и комфортным жильем жителей Ханты-Мансийского автономного округа – Югры в 2014 – 2020 годах»;</w:t>
            </w:r>
          </w:p>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постановление Правительства Ханты-Мансийского автономного округа – Югры от 23 декабря 2010 года № 368-п «О целевой программе Ханты-</w:t>
            </w:r>
            <w:r>
              <w:rPr>
                <w:rFonts w:eastAsia="Calibri"/>
                <w:sz w:val="22"/>
                <w:szCs w:val="22"/>
                <w:lang w:eastAsia="ru-RU"/>
              </w:rPr>
              <w:lastRenderedPageBreak/>
              <w:t>Мансийского автономного округа – Югры «Улучшение жилищных условий населения Ханты-Мансийского автономного округа – Югры на 2011-2013 годы и на период до 2015 года»;</w:t>
            </w:r>
          </w:p>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постановление Правительства автономного округа – Югры от 5 апреля 2011 года № 108-п «Улучшение жилищных условий населения Ханты-Мансийского автономного округа – Югры на 2011-2013 годы и на период до 2015 года».</w:t>
            </w:r>
          </w:p>
        </w:tc>
      </w:tr>
      <w:tr w:rsidR="00970B6D" w:rsidTr="00970B6D">
        <w:tc>
          <w:tcPr>
            <w:tcW w:w="3261" w:type="dxa"/>
            <w:tcBorders>
              <w:top w:val="single" w:sz="4" w:space="0" w:color="auto"/>
              <w:left w:val="single" w:sz="4" w:space="0" w:color="auto"/>
              <w:bottom w:val="single" w:sz="4" w:space="0" w:color="auto"/>
              <w:right w:val="single" w:sz="4" w:space="0" w:color="auto"/>
            </w:tcBorders>
          </w:tcPr>
          <w:p w:rsidR="00970B6D" w:rsidRDefault="00970B6D" w:rsidP="00970B6D">
            <w:pPr>
              <w:suppressAutoHyphens w:val="0"/>
              <w:autoSpaceDE w:val="0"/>
              <w:autoSpaceDN w:val="0"/>
              <w:adjustRightInd w:val="0"/>
              <w:spacing w:line="276" w:lineRule="auto"/>
              <w:jc w:val="both"/>
              <w:rPr>
                <w:rFonts w:eastAsia="Calibri"/>
                <w:sz w:val="22"/>
                <w:szCs w:val="22"/>
                <w:lang w:eastAsia="ru-RU"/>
              </w:rPr>
            </w:pPr>
            <w:proofErr w:type="gramStart"/>
            <w:r>
              <w:rPr>
                <w:rFonts w:eastAsia="Calibri"/>
                <w:sz w:val="22"/>
                <w:szCs w:val="22"/>
                <w:lang w:eastAsia="ru-RU"/>
              </w:rPr>
              <w:lastRenderedPageBreak/>
              <w:t>Граждане из числа коренных малочисленных народов автономного округа, нуждающиеся в улучшении жилищных условий, проживающие  на территории автономного округа не менее пятнадцати лет, признанные участниками мероприятия «Улучшение жилищных условий отдельных категорий граждан» государственной программы «Обеспечение доступным и комфортным жильем жителей Ханты-Мансийского автономного округа – Югры в 2014 – 2020 годах»</w:t>
            </w:r>
            <w:proofErr w:type="gramEnd"/>
          </w:p>
          <w:p w:rsidR="00970B6D" w:rsidRDefault="00970B6D">
            <w:pPr>
              <w:suppressAutoHyphens w:val="0"/>
              <w:autoSpaceDE w:val="0"/>
              <w:autoSpaceDN w:val="0"/>
              <w:adjustRightInd w:val="0"/>
              <w:spacing w:line="276" w:lineRule="auto"/>
              <w:jc w:val="both"/>
              <w:rPr>
                <w:rFonts w:eastAsia="Calibri"/>
                <w:sz w:val="22"/>
                <w:szCs w:val="22"/>
                <w:lang w:eastAsia="ru-RU"/>
              </w:rPr>
            </w:pPr>
          </w:p>
        </w:tc>
        <w:tc>
          <w:tcPr>
            <w:tcW w:w="4678" w:type="dxa"/>
            <w:tcBorders>
              <w:top w:val="single" w:sz="4" w:space="0" w:color="auto"/>
              <w:left w:val="single" w:sz="4" w:space="0" w:color="auto"/>
              <w:bottom w:val="single" w:sz="4" w:space="0" w:color="auto"/>
              <w:right w:val="single" w:sz="4" w:space="0" w:color="auto"/>
            </w:tcBorders>
            <w:hideMark/>
          </w:tcPr>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Государственная поддержка осуществляется в форме субсидии:</w:t>
            </w:r>
          </w:p>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на оплату договора приобретения жилого помещения, на первоначальный взнос при кредитовании на приобретение жилого помещения;</w:t>
            </w:r>
          </w:p>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на первоначальный взнос при кредитовании на приобретение жилого помещения.</w:t>
            </w:r>
          </w:p>
          <w:p w:rsidR="00970B6D" w:rsidRDefault="00970B6D">
            <w:pPr>
              <w:suppressAutoHyphens w:val="0"/>
              <w:autoSpaceDE w:val="0"/>
              <w:autoSpaceDN w:val="0"/>
              <w:adjustRightInd w:val="0"/>
              <w:spacing w:line="276" w:lineRule="auto"/>
              <w:jc w:val="both"/>
              <w:rPr>
                <w:rFonts w:eastAsia="Calibri"/>
                <w:sz w:val="22"/>
                <w:szCs w:val="22"/>
                <w:lang w:eastAsia="ru-RU"/>
              </w:rPr>
            </w:pPr>
            <w:proofErr w:type="gramStart"/>
            <w:r>
              <w:rPr>
                <w:rFonts w:eastAsia="Calibri"/>
                <w:sz w:val="22"/>
                <w:szCs w:val="22"/>
                <w:lang w:eastAsia="ru-RU"/>
              </w:rPr>
              <w:t>Размер субсидии составляет 50% средней рыночной стоимость 1 кв. м. общей площади жилья по автономному округу, установленной уполномоченным федеральным органом исполнительной власти</w:t>
            </w:r>
            <w:r>
              <w:rPr>
                <w:color w:val="FF0000"/>
                <w:sz w:val="22"/>
                <w:szCs w:val="22"/>
                <w:lang w:eastAsia="ru-RU"/>
              </w:rPr>
              <w:t xml:space="preserve">, </w:t>
            </w:r>
            <w:r>
              <w:rPr>
                <w:sz w:val="22"/>
                <w:szCs w:val="22"/>
              </w:rPr>
              <w:t>норматива предоставления общей площади жилого помещения, установленного для семей разной численности (для одиноко проживающего - 33 кв. м., для семьи из двух человек - 42 кв. м., для семьи из трех и более человек - по 18 кв. м. на каждого).</w:t>
            </w:r>
            <w:r>
              <w:rPr>
                <w:rFonts w:eastAsia="Calibri"/>
                <w:sz w:val="22"/>
                <w:szCs w:val="22"/>
                <w:lang w:eastAsia="ru-RU"/>
              </w:rPr>
              <w:t xml:space="preserve"> </w:t>
            </w:r>
            <w:proofErr w:type="gramEnd"/>
          </w:p>
        </w:tc>
        <w:tc>
          <w:tcPr>
            <w:tcW w:w="2126" w:type="dxa"/>
            <w:tcBorders>
              <w:top w:val="single" w:sz="4" w:space="0" w:color="auto"/>
              <w:left w:val="single" w:sz="4" w:space="0" w:color="auto"/>
              <w:bottom w:val="single" w:sz="4" w:space="0" w:color="auto"/>
              <w:right w:val="single" w:sz="4" w:space="0" w:color="auto"/>
            </w:tcBorders>
            <w:hideMark/>
          </w:tcPr>
          <w:p w:rsidR="00970B6D" w:rsidRDefault="00970B6D">
            <w:pPr>
              <w:spacing w:line="276" w:lineRule="auto"/>
              <w:jc w:val="both"/>
              <w:rPr>
                <w:rFonts w:eastAsia="Calibri"/>
                <w:sz w:val="22"/>
                <w:szCs w:val="22"/>
                <w:lang w:eastAsia="ru-RU"/>
              </w:rPr>
            </w:pPr>
            <w:r>
              <w:rPr>
                <w:rFonts w:eastAsia="Calibri"/>
                <w:sz w:val="22"/>
                <w:szCs w:val="22"/>
                <w:lang w:eastAsia="ru-RU"/>
              </w:rPr>
              <w:t>ОАО «Ипотечное агентство Югры» и его структурные подразделения.</w:t>
            </w:r>
          </w:p>
        </w:tc>
        <w:tc>
          <w:tcPr>
            <w:tcW w:w="4820" w:type="dxa"/>
            <w:tcBorders>
              <w:top w:val="single" w:sz="4" w:space="0" w:color="auto"/>
              <w:left w:val="single" w:sz="4" w:space="0" w:color="auto"/>
              <w:bottom w:val="single" w:sz="4" w:space="0" w:color="auto"/>
              <w:right w:val="single" w:sz="4" w:space="0" w:color="auto"/>
            </w:tcBorders>
          </w:tcPr>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 xml:space="preserve">Закон Ханты-Мансийского автономного округа – Югры от 6 июля 2005 года № 57-оз «О регулировании отдельных жилищных отношений </w:t>
            </w:r>
            <w:proofErr w:type="gramStart"/>
            <w:r>
              <w:rPr>
                <w:rFonts w:eastAsia="Calibri"/>
                <w:sz w:val="22"/>
                <w:szCs w:val="22"/>
                <w:lang w:eastAsia="ru-RU"/>
              </w:rPr>
              <w:t>в</w:t>
            </w:r>
            <w:proofErr w:type="gramEnd"/>
            <w:r>
              <w:rPr>
                <w:rFonts w:eastAsia="Calibri"/>
                <w:sz w:val="22"/>
                <w:szCs w:val="22"/>
                <w:lang w:eastAsia="ru-RU"/>
              </w:rPr>
              <w:t xml:space="preserve"> </w:t>
            </w:r>
            <w:proofErr w:type="gramStart"/>
            <w:r>
              <w:rPr>
                <w:rFonts w:eastAsia="Calibri"/>
                <w:sz w:val="22"/>
                <w:szCs w:val="22"/>
                <w:lang w:eastAsia="ru-RU"/>
              </w:rPr>
              <w:t>Ханты-Мансийском</w:t>
            </w:r>
            <w:proofErr w:type="gramEnd"/>
            <w:r>
              <w:rPr>
                <w:rFonts w:eastAsia="Calibri"/>
                <w:sz w:val="22"/>
                <w:szCs w:val="22"/>
                <w:lang w:eastAsia="ru-RU"/>
              </w:rPr>
              <w:t xml:space="preserve"> автономном округе – Югре»; </w:t>
            </w:r>
          </w:p>
          <w:p w:rsidR="00970B6D" w:rsidRDefault="00970B6D">
            <w:pPr>
              <w:suppressAutoHyphens w:val="0"/>
              <w:autoSpaceDE w:val="0"/>
              <w:autoSpaceDN w:val="0"/>
              <w:adjustRightInd w:val="0"/>
              <w:spacing w:line="276" w:lineRule="auto"/>
              <w:jc w:val="both"/>
              <w:rPr>
                <w:rFonts w:eastAsia="Calibri"/>
                <w:sz w:val="22"/>
                <w:szCs w:val="22"/>
                <w:lang w:eastAsia="ru-RU"/>
              </w:rPr>
            </w:pPr>
            <w:r>
              <w:rPr>
                <w:rFonts w:eastAsia="Calibri"/>
                <w:sz w:val="22"/>
                <w:szCs w:val="22"/>
                <w:lang w:eastAsia="ru-RU"/>
              </w:rPr>
              <w:t>постановление Правительства Ханты-Мансийского автономного округа – Югры от 09 октября 2013 года № 408-п «О государственной программе Ханты-Мансийского автономного округа – Югры «Обеспечение доступным и комфортным жильем жителей Ханты-Мансийского автономного округа – Югры в 2014 – 2020 годах» (Порядок 13).</w:t>
            </w:r>
          </w:p>
          <w:p w:rsidR="00970B6D" w:rsidRDefault="00970B6D">
            <w:pPr>
              <w:suppressAutoHyphens w:val="0"/>
              <w:autoSpaceDE w:val="0"/>
              <w:autoSpaceDN w:val="0"/>
              <w:adjustRightInd w:val="0"/>
              <w:spacing w:line="276" w:lineRule="auto"/>
              <w:jc w:val="both"/>
              <w:rPr>
                <w:rFonts w:eastAsia="Calibri"/>
                <w:sz w:val="22"/>
                <w:szCs w:val="22"/>
                <w:lang w:eastAsia="ru-RU"/>
              </w:rPr>
            </w:pPr>
          </w:p>
        </w:tc>
      </w:tr>
    </w:tbl>
    <w:p w:rsidR="00EE0492" w:rsidRDefault="00EE0492"/>
    <w:sectPr w:rsidR="00EE0492" w:rsidSect="00970B6D">
      <w:pgSz w:w="16838" w:h="11906" w:orient="landscape"/>
      <w:pgMar w:top="709"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1590"/>
    <w:rsid w:val="003E1590"/>
    <w:rsid w:val="00970B6D"/>
    <w:rsid w:val="00AA273F"/>
    <w:rsid w:val="00EE04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0B6D"/>
    <w:pPr>
      <w:suppressAutoHyphens/>
      <w:spacing w:after="0" w:line="240" w:lineRule="auto"/>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970B6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0B6D"/>
    <w:pPr>
      <w:suppressAutoHyphens/>
      <w:spacing w:after="0" w:line="240" w:lineRule="auto"/>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970B6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0168928">
      <w:bodyDiv w:val="1"/>
      <w:marLeft w:val="0"/>
      <w:marRight w:val="0"/>
      <w:marTop w:val="0"/>
      <w:marBottom w:val="0"/>
      <w:divBdr>
        <w:top w:val="none" w:sz="0" w:space="0" w:color="auto"/>
        <w:left w:val="none" w:sz="0" w:space="0" w:color="auto"/>
        <w:bottom w:val="none" w:sz="0" w:space="0" w:color="auto"/>
        <w:right w:val="none" w:sz="0" w:space="0" w:color="auto"/>
      </w:divBdr>
    </w:div>
    <w:div w:id="591209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3F6805863F820639305B48640C7099525683F55AA028CF41806592F272C42AD83C4A865233C0C03823A0BF74gCJ" TargetMode="External"/><Relationship Id="rId5" Type="http://schemas.openxmlformats.org/officeDocument/2006/relationships/hyperlink" Target="consultantplus://offline/ref=3F6805863F820639305B48640C7099525683F55AAF2EC440896592F272C42AD83C4A865233C0C03823A6BE74g7J"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1170</Words>
  <Characters>6673</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Владимировна Гильманова</dc:creator>
  <cp:lastModifiedBy>Елена Владимировна Гильманова</cp:lastModifiedBy>
  <cp:revision>2</cp:revision>
  <dcterms:created xsi:type="dcterms:W3CDTF">2017-05-26T10:06:00Z</dcterms:created>
  <dcterms:modified xsi:type="dcterms:W3CDTF">2017-05-26T10:06:00Z</dcterms:modified>
</cp:coreProperties>
</file>